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DA7C21">
        <w:rPr>
          <w:rFonts w:ascii="Times New Roman" w:eastAsia="Times New Roman" w:hAnsi="Times New Roman" w:cs="Times New Roman"/>
          <w:color w:val="22272F"/>
          <w:sz w:val="34"/>
          <w:szCs w:val="34"/>
        </w:rPr>
        <w:t>Указ Президента РФ от 4 марта 2013 г. N 183</w:t>
      </w:r>
      <w:r w:rsidRPr="00DA7C21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 xml:space="preserve">"О рассмотрении общественных инициатив, направленных гражданами Российской Федерации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34"/>
          <w:szCs w:val="34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34"/>
          <w:szCs w:val="34"/>
        </w:rPr>
        <w:t xml:space="preserve"> "Российская общественная инициатива"</w:t>
      </w:r>
    </w:p>
    <w:p w:rsidR="00DA7C21" w:rsidRPr="00DA7C21" w:rsidRDefault="00DA7C21" w:rsidP="00DA7C21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</w:pPr>
      <w:r w:rsidRPr="00DA7C21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DA7C21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от</w:t>
      </w:r>
      <w:proofErr w:type="gramEnd"/>
      <w:r w:rsidRPr="00DA7C21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</w:rPr>
        <w:t>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В целях обеспечения развития и укрепления гражданского общества, защиты прав человека и гражданина, участия граждан в управлении делами государства постановляю: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1. Утвердить прилагаемые </w:t>
      </w:r>
      <w:hyperlink r:id="rId4" w:anchor="/document/70326884/entry/48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Правила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 рассмотрения общественных инициатив, направленных гражданами Российской Федерации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"Российская общественная инициатива".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2. 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Установить, что рассмотрению в соответствии с </w:t>
      </w:r>
      <w:hyperlink r:id="rId5" w:anchor="/document/70326884/entry/48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Правилами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, утвержденными настоящим Указом, подлежат направленные гражданами Российской Федерации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"Российская общественная инициатива":</w:t>
      </w:r>
      <w:proofErr w:type="gramEnd"/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а) общественные инициативы, реализуемые на федеральном уровне, - с 15 апреля 2013 г.;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б) общественные инициативы, реализуемые на региональном и муниципальном 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уровнях</w:t>
      </w:r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, - с 1 ноября 2013 г.</w:t>
      </w:r>
    </w:p>
    <w:p w:rsidR="00DA7C21" w:rsidRPr="00DA7C21" w:rsidRDefault="00DA7C21" w:rsidP="00DA7C2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</w:rPr>
      </w:pPr>
      <w:hyperlink r:id="rId6" w:anchor="/document/70681398/entry/1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Указом</w:t>
        </w:r>
      </w:hyperlink>
      <w:r w:rsidRPr="00DA7C21">
        <w:rPr>
          <w:rFonts w:ascii="Times New Roman" w:eastAsia="Times New Roman" w:hAnsi="Times New Roman" w:cs="Times New Roman"/>
          <w:color w:val="464C55"/>
          <w:sz w:val="20"/>
          <w:szCs w:val="20"/>
        </w:rPr>
        <w:t> Президента РФ от 23 июня 2014 г. N 452 Указ дополнен пунктом 2.1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2.1. 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Установить, что общественные инициативы, предусмотренные </w:t>
      </w:r>
      <w:hyperlink r:id="rId7" w:anchor="/document/70326884/entry/4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пунктом 2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 настоящего Указа, могут быть направлены только гражданами Российской Федерации, лично предъявившими при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основной документ, удостоверяющий личность гражданина Российской Федерации.</w:t>
      </w:r>
      <w:proofErr w:type="gramEnd"/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Не допускается голосование по таким общественным инициативам граждан Российской Федерации, не предъявивших при регистрации в указанной информационной системе основной документ, удостоверяющий личность гражданина Российской Федерации.</w:t>
      </w:r>
    </w:p>
    <w:p w:rsidR="00DA7C21" w:rsidRPr="00DA7C21" w:rsidRDefault="00DA7C21" w:rsidP="00DA7C2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</w:rPr>
      </w:pPr>
      <w:hyperlink r:id="rId8" w:anchor="/document/70681398/entry/1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Указом</w:t>
        </w:r>
      </w:hyperlink>
      <w:r w:rsidRPr="00DA7C21">
        <w:rPr>
          <w:rFonts w:ascii="Times New Roman" w:eastAsia="Times New Roman" w:hAnsi="Times New Roman" w:cs="Times New Roman"/>
          <w:color w:val="464C55"/>
          <w:sz w:val="20"/>
          <w:szCs w:val="20"/>
        </w:rPr>
        <w:t> Президента РФ от 23 июня 2014 г. N 452 Указ дополнен пунктом 2.2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2.2. 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Установить, что ответственность за проверку основного документа и удостоверение личности гражданина Российской Федерации, регистрируемого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несут уполномоченные лица органов и организаций, осуществляющие регистрацию в указанной информационной системе.</w:t>
      </w:r>
      <w:proofErr w:type="gramEnd"/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3. Установить, что некоммерческой организацией, уполномоченной на осуществление функций, предусмотренных </w:t>
      </w:r>
      <w:hyperlink r:id="rId9" w:anchor="/document/70326884/entry/48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Правилами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, утвержденными настоящим Указом, является Фонд развития информационной демократии и гражданского общества "Фонд информационной демократии".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4. Правительству Российской Федерации включить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интернет-ресурс "Российская общественная инициатива".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5. Правительству Российской Федерации, высшим должностным лицам (руководителям высших исполнительных органов государственной власти) субъектов Российской Федерации привести свои акты в соответствие с настоящим Указом.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6. Настоящий Указ вступает в силу со дня его подписания.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DA7C21" w:rsidRPr="00DA7C21" w:rsidTr="00DA7C21">
        <w:tc>
          <w:tcPr>
            <w:tcW w:w="3300" w:type="pct"/>
            <w:shd w:val="clear" w:color="auto" w:fill="FFFFFF"/>
            <w:vAlign w:val="bottom"/>
            <w:hideMark/>
          </w:tcPr>
          <w:p w:rsidR="00DA7C21" w:rsidRPr="00DA7C21" w:rsidRDefault="00DA7C21" w:rsidP="00DA7C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A7C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A7C21" w:rsidRPr="00DA7C21" w:rsidRDefault="00DA7C21" w:rsidP="00DA7C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A7C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В. Путин</w:t>
            </w:r>
          </w:p>
        </w:tc>
      </w:tr>
    </w:tbl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Москва, Кремль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4 марта 2013 года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N 183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Правила</w:t>
      </w:r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 xml:space="preserve">рассмотрения общественных инициатив, направленных гражданами Российской Федерации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"Российская общественная инициатива"</w:t>
      </w:r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(утв. </w:t>
      </w:r>
      <w:hyperlink r:id="rId10" w:anchor="/document/70326884/entry/0" w:history="1">
        <w:r w:rsidRPr="00DA7C21">
          <w:rPr>
            <w:rFonts w:ascii="Times New Roman" w:eastAsia="Times New Roman" w:hAnsi="Times New Roman" w:cs="Times New Roman"/>
            <w:color w:val="734C9B"/>
            <w:sz w:val="28"/>
          </w:rPr>
          <w:t>Указом</w:t>
        </w:r>
      </w:hyperlink>
      <w:r w:rsidRPr="00DA7C21">
        <w:rPr>
          <w:rFonts w:ascii="Times New Roman" w:eastAsia="Times New Roman" w:hAnsi="Times New Roman" w:cs="Times New Roman"/>
          <w:color w:val="22272F"/>
          <w:sz w:val="28"/>
          <w:szCs w:val="28"/>
        </w:rPr>
        <w:t> Президента РФ от 4 марта 2013 г. N 183)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1. Общественными инициативами считаются предложения граждан Российской Федерации (далее - граждане) по вопросам социально-экономического развития страны, совершенствования государственного и муниципального управления, направленные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"Российская общественная инициатива" (далее - интернет-ресурс) и отвечающие установленным настоящими Правилами требованиям.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2. Направлять общественные инициативы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голосовать за них могут граждане Российской Федерации, достигшие возраста 18 лет, зарегистрированные в федеральной государственной информационной системе "Единая система идентификац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ии и ау</w:t>
      </w:r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3. Размещению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предшествует обязательная предварительная экспертиза, за исключением случаев, установленных настоящими Правилами. Срок проведения предварительной экспертизы не должен превышать два месяца.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4. Функции по проведению предварительной экспертизы общественной инициативы, принятию решения о размещении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(в разделе для голосования) или об отказе в ее размещении, а также по обеспечению работы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осуществляет уполномоченная некоммерческая организация.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5. Для реализации своих функций уполномоченная некоммерческая организация вправе запрашивать и получать сведения, необходимые материалы от федеральных органов государственной власти, федеральных государственных органов, органов государственной власти субъектов Российской Федерации и органов местного самоуправления.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6. Направление общественной инициативы осуществляется путем заполнения на русском языке специальной формы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7. Текст общественной инициативы не должен содержать нецензурных либо оскорбительных выражений, угроз жизни или здоровью граждан, призывов к осуществлению экстремистской деятельности.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Общественная инициатива, в тексте которой содержатся нецензурные либо оскорбительные выражения, угрозы жизни или здоровью граждан, а также призывы к осуществлению экстремистской деятельности, снимается уполномоченной некоммерческой организацией с рассмотрения без проведения предварительной экспертизы, о чем гражданин, направивший такую инициативу, уведомляется в электронном виде.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8. Гражданин, направивший общественную инициативу, указывает, на каком уровне (федеральном, региональном или муниципальном), по его мнению, должна быть реализована данная инициатива.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9. </w:t>
      </w:r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Уполномоченная некоммерческая организация вправе принять решение о снятии общественной инициативы с рассмотрения без проведения предварительной экспертизы в случаях, если гражданином повторно направлена общественная инициатива, по которой было принято решение об отказе в ее размещении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или которая не получила в ходе голосования необходимой поддержки, и при этом в общественной инициативе не приводятся новые доводы или не указываются новые </w:t>
      </w: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lastRenderedPageBreak/>
        <w:t>обстоятельства</w:t>
      </w:r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, либо если аналогичная общественная инициатива уже размещена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получила необходимую поддержку в ходе голосования либо голосование по ней не завершено.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О данном решении гражданин, направивший общественную инициативу, уведомляется в электронном виде.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10. В ходе предварительной экспертизы устанавливаются соответствие общественной инициативы </w:t>
      </w:r>
      <w:hyperlink r:id="rId11" w:anchor="/document/10103000/entry/0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Конституции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 Российской Федерации, общепризнанным принципам и нормам международного права, в том числе в области прав, свобод и законных интересов граждан, актуальность проблемы, содержащейся в общественной инициативе, обоснованность предлагаемых вариантов ее решения.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11. По результатам предварительной экспертизы уполномоченная некоммерческая организация принимает решение: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а) о размещении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(в разделе для голосования) и начале процедуры голосования;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б) об отказе в размещении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в) об изменении уровня реализации общественной инициативы.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12. О принятом по результатам предварительной экспертизы решении уполномоченная некоммерческая организация уведомляет гражданина, направившего общественную инициативу, в электронном виде. При этом уведомление об отказе в размещении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или об изменении уровня ее реализации должно быть мотивированным.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13. Уполномоченная некоммерческая организация принимает решение об отказе в размещении общественной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в случаях, если: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а) общественная инициатива противоречит </w:t>
      </w:r>
      <w:hyperlink r:id="rId12" w:anchor="/document/10103000/entry/0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Конституции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 Российской Федерации, общепризнанным принципам и нормам международного права, в том числе в области прав, свобод и законных интересов граждан;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б) общественная инициатива противоречит </w:t>
      </w:r>
      <w:hyperlink r:id="rId13" w:anchor="/document/12135919/entry/6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статье 6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 Федерального конституционного закона от 28 июня 2004 г. N 5-ФКЗ "О референдуме Российской Федерации";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в) общественная инициатива не содержит описания проблемы, либо в общественной инициативе не предложены варианты решения проблемы, либо предлагаемые варианты не обоснованы.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14. Размещенная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общественная инициатива должна получить необходимую поддержку в ходе голосования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. Поддержанной считается инициатива, которая в течение одного года после ее размещения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получила: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а) не менее 100 тыс. голосов граждан - в поддержку инициативы федерального уровня;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б) не менее 5 процентов голосов граждан, постоянно проживающих на территории соответствующего субъекта Российской Федерации (для субъектов Российской Федерации с численностью населения более 2 млн. человек - не менее 100 тыс. голосов граждан, постоянно проживающих на территории соответствующего субъекта Российской Федерации), - в поддержку инициативы регионального уровня;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в) не менее 5 процентов голосов граждан, постоянно проживающих на территории соответствующего муниципального образования, - в поддержку инициативы муниципального уровня.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15. Голосование по общественной инициативе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начинается в день размещения этой инициативы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(в разделе для голосования) и проводится в течение одного года.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16. Система голосования с использованием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организуется по принципу "один человек - один голос" и предусматривает для граждан возможность проголосовать как за инициативу, так и против нее.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lastRenderedPageBreak/>
        <w:t>17. Уполномоченная некоммерческая организация обеспечивает: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а) возможность свободного использования гражданами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интернет-ресурса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для ознакомления с размещаемыми на нем общественными инициативами, итогами голосования, принятыми решениями, а также для получения информации о ходе и результатах реализации общественной инициативы;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б) возможность голосования, обработку голосов, поданных путем дистанционного электронного голосования, и достоверность его результатов.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18. Общественная инициатива, не получившая в ходе голосования необходимой поддержки, считается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неподдержанной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снимается с рассмотрения. Информация об этом размещается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19. Общественная инициатива, получившая в ходе голосования необходимую поддержку, направляется в электронном виде уполномоченной некоммерческой организацией в экспертную рабочую группу соответствующего уровня (федерального, регионального или муниципального) для проведения экспертизы и принятия решения о целесообразности разработки проекта соответствующего нормативного правового акта и (или) об иных мерах по реализации данной инициативы. Информация о направлении общественной инициативы в экспертную рабочую группу соответствующего уровня и принятых ею решениях размещается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20. При направлении общественной инициативы в экспертную рабочую группу уполномоченная некоммерческая организация указывает следующую информацию: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а) содержание инициативы;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б) уровень реализации инициативы;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в) количество голосов, поданных за инициативу, и количество голосов, поданных против нее, с указанием периода, в течение которого эти голоса были получены;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г) распределение голосов "за" и "против" по субъектам Российской Федерации и муниципальным образованиям (для общественных инициатив соответствующего уровня).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21. </w:t>
      </w:r>
      <w:hyperlink r:id="rId14" w:anchor="/document/72007056/entry/1000" w:history="1">
        <w:r w:rsidRPr="00DA7C21">
          <w:rPr>
            <w:rFonts w:ascii="Times New Roman" w:eastAsia="Times New Roman" w:hAnsi="Times New Roman" w:cs="Times New Roman"/>
            <w:color w:val="734C9B"/>
            <w:sz w:val="20"/>
          </w:rPr>
          <w:t>Состав</w:t>
        </w:r>
      </w:hyperlink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 экспертной рабочей группы федерального уровня определяется Правительством Российской Федерации и включает представителей федеральных органов исполнительной власти, депутатов Государственной Думы Федерального Собрания Российской Федерации, членов Совета Федерации Федерального Собрания Российской Федерации, членов Общественной палаты Российской Федерации, представителей </w:t>
      </w:r>
      <w:proofErr w:type="spellStart"/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бизнес-сообщества</w:t>
      </w:r>
      <w:proofErr w:type="spellEnd"/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общественных объединений.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22. Состав экспертной рабочей группы регионального уровня определяется высшими органами исполнительной власти субъектов Российской Федерации и включает представителей органов государственной власти Российской Федерации, депутатов представительных (законодательных) органов государственной власти субъектов Российской Федерации, членов общественных палат субъектов Российской Федерации, депутатов представительных органов муниципальных образований, представителей государственных учреждений, </w:t>
      </w:r>
      <w:proofErr w:type="spellStart"/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бизнес-сообщества</w:t>
      </w:r>
      <w:proofErr w:type="spellEnd"/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общественных объединений.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23. Состав экспертной рабочей группы муниципального уровня определяется органами местного самоуправления и включает представителей этих органов, депутатов представительных органов муниципальных образований, представителей муниципальных учреждений, </w:t>
      </w:r>
      <w:proofErr w:type="spellStart"/>
      <w:proofErr w:type="gram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бизнес-сообщества</w:t>
      </w:r>
      <w:proofErr w:type="spellEnd"/>
      <w:proofErr w:type="gram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общественных объединений.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24. По результатам рассмотрения общественной инициативы экспертная рабочая группа в срок, не превышающий двух месяцев, готовит экспертное заключение и решение о разработке соответствующего нормативного правового акта и (или) принятии иных мер по реализации инициативы, которые подписываются председателем соответствующей экспертной рабочей группы, о чем уведомляет уполномоченную некоммерческую организацию в электронном виде.</w:t>
      </w:r>
    </w:p>
    <w:p w:rsidR="00DA7C21" w:rsidRPr="00DA7C21" w:rsidRDefault="00DA7C21" w:rsidP="00DA7C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Информация о рассмотрении общественной инициативы и мерах по ее реализации направляется уполномоченной некоммерческой организации для размещения на </w:t>
      </w:r>
      <w:proofErr w:type="spellStart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интернет-ресурсе</w:t>
      </w:r>
      <w:proofErr w:type="spellEnd"/>
      <w:r w:rsidRPr="00DA7C21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843FC5" w:rsidRDefault="00843FC5"/>
    <w:sectPr w:rsidR="0084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7C21"/>
    <w:rsid w:val="00843FC5"/>
    <w:rsid w:val="00DA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7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7C2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DA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A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A7C21"/>
    <w:rPr>
      <w:color w:val="0000FF"/>
      <w:u w:val="single"/>
    </w:rPr>
  </w:style>
  <w:style w:type="paragraph" w:customStyle="1" w:styleId="s22">
    <w:name w:val="s_22"/>
    <w:basedOn w:val="a"/>
    <w:rsid w:val="00DA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A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762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435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12229</Characters>
  <Application>Microsoft Office Word</Application>
  <DocSecurity>0</DocSecurity>
  <Lines>101</Lines>
  <Paragraphs>28</Paragraphs>
  <ScaleCrop>false</ScaleCrop>
  <Company>MultiDVD Team</Company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2019-04-18T13:06:00Z</dcterms:created>
  <dcterms:modified xsi:type="dcterms:W3CDTF">2019-04-18T13:06:00Z</dcterms:modified>
</cp:coreProperties>
</file>